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80" w:rightFromText="180" w:vertAnchor="text" w:horzAnchor="margin" w:tblpY="81"/>
        <w:tblW w:w="9747" w:type="dxa"/>
        <w:tblBorders>
          <w:top w:val="single" w:sz="12" w:space="0" w:color="auto"/>
          <w:left w:val="single" w:sz="12" w:space="0" w:color="auto"/>
          <w:bottom w:val="single" w:sz="12" w:space="0" w:color="auto"/>
          <w:insideH w:val="single" w:sz="12" w:space="0" w:color="auto"/>
          <w:insideV w:val="single" w:sz="12" w:space="0" w:color="auto"/>
        </w:tblBorders>
        <w:tblLook w:val="04A0" w:firstRow="1" w:lastRow="0" w:firstColumn="1" w:lastColumn="0" w:noHBand="0" w:noVBand="1"/>
      </w:tblPr>
      <w:tblGrid>
        <w:gridCol w:w="2835"/>
        <w:gridCol w:w="236"/>
        <w:gridCol w:w="2747"/>
        <w:gridCol w:w="453"/>
        <w:gridCol w:w="3476"/>
      </w:tblGrid>
      <w:tr w:rsidR="00BB345A" w:rsidRPr="00151552" w14:paraId="02B96096" w14:textId="77777777" w:rsidTr="00D16678">
        <w:trPr>
          <w:trHeight w:val="312"/>
        </w:trPr>
        <w:tc>
          <w:tcPr>
            <w:tcW w:w="2835" w:type="dxa"/>
            <w:tcBorders>
              <w:top w:val="nil"/>
              <w:left w:val="nil"/>
              <w:bottom w:val="single" w:sz="12" w:space="0" w:color="auto"/>
              <w:right w:val="nil"/>
            </w:tcBorders>
          </w:tcPr>
          <w:p w14:paraId="668D7C9A" w14:textId="77777777" w:rsidR="00BB345A" w:rsidRPr="00151552" w:rsidRDefault="00BB345A" w:rsidP="00D16678">
            <w:pPr>
              <w:tabs>
                <w:tab w:val="left" w:pos="411"/>
              </w:tabs>
              <w:rPr>
                <w:rFonts w:ascii="Times New Roman" w:hAnsi="Times New Roman" w:cs="Times New Roman"/>
                <w:lang w:val="ro-MD"/>
              </w:rPr>
            </w:pPr>
          </w:p>
        </w:tc>
        <w:tc>
          <w:tcPr>
            <w:tcW w:w="236" w:type="dxa"/>
            <w:tcBorders>
              <w:top w:val="nil"/>
              <w:left w:val="nil"/>
              <w:bottom w:val="nil"/>
              <w:right w:val="nil"/>
            </w:tcBorders>
          </w:tcPr>
          <w:p w14:paraId="5CF20758" w14:textId="77777777" w:rsidR="00BB345A" w:rsidRPr="00151552" w:rsidRDefault="00BB345A" w:rsidP="00D16678">
            <w:pPr>
              <w:rPr>
                <w:rFonts w:ascii="Times New Roman" w:hAnsi="Times New Roman" w:cs="Times New Roman"/>
                <w:lang w:val="ro-MD"/>
              </w:rPr>
            </w:pPr>
          </w:p>
        </w:tc>
        <w:tc>
          <w:tcPr>
            <w:tcW w:w="2747" w:type="dxa"/>
            <w:tcBorders>
              <w:top w:val="nil"/>
              <w:left w:val="nil"/>
              <w:right w:val="nil"/>
            </w:tcBorders>
          </w:tcPr>
          <w:p w14:paraId="4C10AE48" w14:textId="77777777" w:rsidR="00BB345A" w:rsidRPr="00151552" w:rsidRDefault="00BB345A" w:rsidP="00D16678">
            <w:pPr>
              <w:rPr>
                <w:rFonts w:ascii="Times New Roman" w:hAnsi="Times New Roman" w:cs="Times New Roman"/>
                <w:lang w:val="ro-MD"/>
              </w:rPr>
            </w:pPr>
          </w:p>
        </w:tc>
        <w:tc>
          <w:tcPr>
            <w:tcW w:w="453" w:type="dxa"/>
            <w:tcBorders>
              <w:top w:val="nil"/>
              <w:left w:val="nil"/>
              <w:bottom w:val="nil"/>
              <w:right w:val="single" w:sz="12" w:space="0" w:color="auto"/>
            </w:tcBorders>
          </w:tcPr>
          <w:p w14:paraId="36FAEEE7" w14:textId="77777777" w:rsidR="00BB345A" w:rsidRPr="00151552" w:rsidRDefault="00BB345A" w:rsidP="00D16678">
            <w:pPr>
              <w:rPr>
                <w:rFonts w:ascii="Times New Roman" w:hAnsi="Times New Roman" w:cs="Times New Roman"/>
                <w:lang w:val="ro-MD"/>
              </w:rPr>
            </w:pPr>
          </w:p>
        </w:tc>
        <w:tc>
          <w:tcPr>
            <w:tcW w:w="3476" w:type="dxa"/>
            <w:vMerge w:val="restart"/>
            <w:tcBorders>
              <w:left w:val="single" w:sz="12" w:space="0" w:color="auto"/>
              <w:right w:val="single" w:sz="12" w:space="0" w:color="auto"/>
            </w:tcBorders>
          </w:tcPr>
          <w:p w14:paraId="53ABD93A" w14:textId="77777777" w:rsidR="00BB345A" w:rsidRPr="00151552" w:rsidRDefault="00BB345A" w:rsidP="00D16678">
            <w:pPr>
              <w:ind w:firstLine="567"/>
              <w:jc w:val="right"/>
              <w:rPr>
                <w:rFonts w:ascii="Times New Roman" w:hAnsi="Times New Roman" w:cs="Times New Roman"/>
                <w:lang w:val="ro-MD"/>
              </w:rPr>
            </w:pPr>
          </w:p>
        </w:tc>
      </w:tr>
      <w:tr w:rsidR="00BB345A" w:rsidRPr="00151552" w14:paraId="5626A5CA" w14:textId="77777777" w:rsidTr="00D16678">
        <w:tc>
          <w:tcPr>
            <w:tcW w:w="2835" w:type="dxa"/>
            <w:tcBorders>
              <w:left w:val="nil"/>
              <w:right w:val="nil"/>
            </w:tcBorders>
          </w:tcPr>
          <w:p w14:paraId="1CBB1E28" w14:textId="77777777" w:rsidR="00BB345A" w:rsidRPr="00151552" w:rsidRDefault="00BB345A" w:rsidP="00D16678">
            <w:pPr>
              <w:rPr>
                <w:rFonts w:ascii="Times New Roman" w:hAnsi="Times New Roman" w:cs="Times New Roman"/>
                <w:lang w:val="ro-MD"/>
              </w:rPr>
            </w:pPr>
          </w:p>
        </w:tc>
        <w:tc>
          <w:tcPr>
            <w:tcW w:w="236" w:type="dxa"/>
            <w:tcBorders>
              <w:top w:val="nil"/>
              <w:left w:val="nil"/>
              <w:bottom w:val="nil"/>
              <w:right w:val="nil"/>
            </w:tcBorders>
          </w:tcPr>
          <w:p w14:paraId="518098D5" w14:textId="77777777" w:rsidR="00BB345A" w:rsidRPr="00151552" w:rsidRDefault="00BB345A" w:rsidP="00D16678">
            <w:pPr>
              <w:rPr>
                <w:rFonts w:ascii="Times New Roman" w:hAnsi="Times New Roman" w:cs="Times New Roman"/>
                <w:lang w:val="ro-MD"/>
              </w:rPr>
            </w:pPr>
          </w:p>
        </w:tc>
        <w:tc>
          <w:tcPr>
            <w:tcW w:w="2747" w:type="dxa"/>
            <w:tcBorders>
              <w:left w:val="nil"/>
              <w:right w:val="nil"/>
            </w:tcBorders>
          </w:tcPr>
          <w:p w14:paraId="4D740BFA" w14:textId="77777777" w:rsidR="00BB345A" w:rsidRPr="00151552" w:rsidRDefault="00BB345A" w:rsidP="00D16678">
            <w:pPr>
              <w:rPr>
                <w:rFonts w:ascii="Times New Roman" w:hAnsi="Times New Roman" w:cs="Times New Roman"/>
                <w:lang w:val="ro-MD"/>
              </w:rPr>
            </w:pPr>
          </w:p>
        </w:tc>
        <w:tc>
          <w:tcPr>
            <w:tcW w:w="453" w:type="dxa"/>
            <w:tcBorders>
              <w:top w:val="nil"/>
              <w:left w:val="nil"/>
              <w:bottom w:val="nil"/>
              <w:right w:val="single" w:sz="12" w:space="0" w:color="auto"/>
            </w:tcBorders>
          </w:tcPr>
          <w:p w14:paraId="77FC6589" w14:textId="77777777" w:rsidR="00BB345A" w:rsidRPr="00151552" w:rsidRDefault="00BB345A" w:rsidP="00D16678">
            <w:pPr>
              <w:rPr>
                <w:rFonts w:ascii="Times New Roman" w:hAnsi="Times New Roman" w:cs="Times New Roman"/>
                <w:lang w:val="ro-MD"/>
              </w:rPr>
            </w:pPr>
          </w:p>
        </w:tc>
        <w:tc>
          <w:tcPr>
            <w:tcW w:w="3476" w:type="dxa"/>
            <w:vMerge/>
            <w:tcBorders>
              <w:left w:val="single" w:sz="12" w:space="0" w:color="auto"/>
              <w:bottom w:val="nil"/>
              <w:right w:val="single" w:sz="12" w:space="0" w:color="auto"/>
            </w:tcBorders>
          </w:tcPr>
          <w:p w14:paraId="28D0324E" w14:textId="77777777" w:rsidR="00BB345A" w:rsidRPr="00151552" w:rsidRDefault="00BB345A" w:rsidP="00D16678">
            <w:pPr>
              <w:rPr>
                <w:rFonts w:ascii="Times New Roman" w:hAnsi="Times New Roman" w:cs="Times New Roman"/>
                <w:lang w:val="ro-MD"/>
              </w:rPr>
            </w:pPr>
          </w:p>
        </w:tc>
      </w:tr>
    </w:tbl>
    <w:p w14:paraId="2FD012FC" w14:textId="1A5A983A" w:rsidR="00BB345A" w:rsidRPr="00151552" w:rsidRDefault="00BB345A" w:rsidP="00BB345A">
      <w:pPr>
        <w:spacing w:after="0" w:line="240" w:lineRule="auto"/>
        <w:ind w:firstLine="567"/>
        <w:jc w:val="right"/>
        <w:rPr>
          <w:rFonts w:ascii="Times New Roman" w:hAnsi="Times New Roman" w:cs="Times New Roman"/>
          <w:sz w:val="24"/>
          <w:szCs w:val="24"/>
          <w:lang w:val="ro-MD"/>
        </w:rPr>
      </w:pPr>
    </w:p>
    <w:p w14:paraId="5FECEBDF" w14:textId="54E28FAA" w:rsidR="00C87E99" w:rsidRPr="00151552" w:rsidRDefault="00AD04EC" w:rsidP="00C87E99">
      <w:pPr>
        <w:jc w:val="both"/>
        <w:rPr>
          <w:rFonts w:ascii="Times New Roman" w:hAnsi="Times New Roman" w:cs="Times New Roman"/>
          <w:b/>
          <w:bCs/>
          <w:sz w:val="24"/>
          <w:szCs w:val="24"/>
          <w:lang w:val="ro-MD"/>
        </w:rPr>
      </w:pPr>
      <w:r w:rsidRPr="00151552">
        <w:rPr>
          <w:rFonts w:ascii="Times New Roman" w:hAnsi="Times New Roman" w:cs="Times New Roman"/>
          <w:b/>
          <w:sz w:val="24"/>
          <w:szCs w:val="24"/>
          <w:lang w:val="ro-MD"/>
        </w:rPr>
        <w:t xml:space="preserve">                                                  </w:t>
      </w:r>
      <w:r w:rsidR="00151552">
        <w:rPr>
          <w:rFonts w:ascii="Times New Roman" w:hAnsi="Times New Roman" w:cs="Times New Roman"/>
          <w:b/>
          <w:sz w:val="24"/>
          <w:szCs w:val="24"/>
          <w:lang w:val="ro-MD"/>
        </w:rPr>
        <w:t xml:space="preserve">          </w:t>
      </w:r>
      <w:r w:rsidRPr="00151552">
        <w:rPr>
          <w:rFonts w:ascii="Times New Roman" w:hAnsi="Times New Roman" w:cs="Times New Roman"/>
          <w:b/>
          <w:sz w:val="24"/>
          <w:szCs w:val="24"/>
          <w:lang w:val="ro-MD"/>
        </w:rPr>
        <w:t xml:space="preserve">  </w:t>
      </w:r>
      <w:r w:rsidR="00C87E99" w:rsidRPr="00151552">
        <w:rPr>
          <w:rFonts w:ascii="Times New Roman" w:hAnsi="Times New Roman" w:cs="Times New Roman"/>
          <w:b/>
          <w:bCs/>
          <w:sz w:val="24"/>
          <w:szCs w:val="24"/>
          <w:lang w:val="ro-MD"/>
        </w:rPr>
        <w:t>Comunicat de presă</w:t>
      </w:r>
    </w:p>
    <w:p w14:paraId="686F75AD" w14:textId="4671E3BD" w:rsidR="00C87E99" w:rsidRPr="00151552" w:rsidRDefault="00C87E99" w:rsidP="00151552">
      <w:pPr>
        <w:jc w:val="center"/>
        <w:rPr>
          <w:rFonts w:ascii="Times New Roman" w:hAnsi="Times New Roman" w:cs="Times New Roman"/>
          <w:b/>
          <w:bCs/>
          <w:sz w:val="24"/>
          <w:szCs w:val="24"/>
          <w:lang w:val="ro-MD"/>
        </w:rPr>
      </w:pPr>
      <w:r w:rsidRPr="00151552">
        <w:rPr>
          <w:rFonts w:ascii="Times New Roman" w:hAnsi="Times New Roman" w:cs="Times New Roman"/>
          <w:b/>
          <w:bCs/>
          <w:sz w:val="24"/>
          <w:szCs w:val="24"/>
          <w:lang w:val="ro-MD"/>
        </w:rPr>
        <w:t>Maia Bănărescu: Utilizarea imaginii copiilor în scopuri politice și electorale, inadmisibilă</w:t>
      </w:r>
    </w:p>
    <w:p w14:paraId="17025A92" w14:textId="6AF64CCE" w:rsidR="00C87E99" w:rsidRPr="00151552" w:rsidRDefault="00C87E99" w:rsidP="00C87E99">
      <w:pPr>
        <w:ind w:firstLine="708"/>
        <w:jc w:val="both"/>
        <w:rPr>
          <w:rFonts w:ascii="Times New Roman" w:hAnsi="Times New Roman" w:cs="Times New Roman"/>
          <w:b/>
          <w:bCs/>
          <w:sz w:val="24"/>
          <w:szCs w:val="24"/>
          <w:lang w:val="ro-MD"/>
        </w:rPr>
      </w:pPr>
      <w:r w:rsidRPr="00151552">
        <w:rPr>
          <w:rFonts w:ascii="Times New Roman" w:hAnsi="Times New Roman" w:cs="Times New Roman"/>
          <w:b/>
          <w:bCs/>
          <w:sz w:val="24"/>
          <w:szCs w:val="24"/>
          <w:lang w:val="ro-MD"/>
        </w:rPr>
        <w:t xml:space="preserve">Ombudsmanul Copilului pledează pentru </w:t>
      </w:r>
      <w:r w:rsidRPr="00151552">
        <w:rPr>
          <w:rFonts w:ascii="Times New Roman" w:hAnsi="Times New Roman" w:cs="Times New Roman"/>
          <w:b/>
          <w:color w:val="000000" w:themeColor="text1"/>
          <w:sz w:val="24"/>
          <w:szCs w:val="24"/>
          <w:lang w:val="ro-MD"/>
        </w:rPr>
        <w:t>sancționarea persoanelor care  implică</w:t>
      </w:r>
      <w:r w:rsidR="00B627E5">
        <w:rPr>
          <w:rFonts w:ascii="Times New Roman" w:hAnsi="Times New Roman" w:cs="Times New Roman"/>
          <w:b/>
          <w:color w:val="000000" w:themeColor="text1"/>
          <w:sz w:val="24"/>
          <w:szCs w:val="24"/>
          <w:lang w:val="ro-MD"/>
        </w:rPr>
        <w:t xml:space="preserve"> minorii î</w:t>
      </w:r>
      <w:r w:rsidRPr="00151552">
        <w:rPr>
          <w:rFonts w:ascii="Times New Roman" w:hAnsi="Times New Roman" w:cs="Times New Roman"/>
          <w:b/>
          <w:color w:val="000000" w:themeColor="text1"/>
          <w:sz w:val="24"/>
          <w:szCs w:val="24"/>
          <w:lang w:val="ro-MD"/>
        </w:rPr>
        <w:t xml:space="preserve">n activitatea, propaganda/agitația politică. Declarații în acest sens au fost făcute în cadrul conferinței de presă din 1 iunie curent, prilejuită de prezentarea </w:t>
      </w:r>
      <w:r w:rsidR="00151552" w:rsidRPr="00151552">
        <w:rPr>
          <w:rFonts w:ascii="Times New Roman" w:hAnsi="Times New Roman" w:cs="Times New Roman"/>
          <w:b/>
          <w:color w:val="000000" w:themeColor="text1"/>
          <w:sz w:val="24"/>
          <w:szCs w:val="24"/>
          <w:lang w:val="ro-MD"/>
        </w:rPr>
        <w:t>concluziilor</w:t>
      </w:r>
      <w:r w:rsidRPr="00151552">
        <w:rPr>
          <w:rFonts w:ascii="Times New Roman" w:hAnsi="Times New Roman" w:cs="Times New Roman"/>
          <w:b/>
          <w:color w:val="000000" w:themeColor="text1"/>
          <w:sz w:val="24"/>
          <w:szCs w:val="24"/>
          <w:lang w:val="ro-MD"/>
        </w:rPr>
        <w:t xml:space="preserve"> </w:t>
      </w:r>
      <w:r w:rsidRPr="00151552">
        <w:rPr>
          <w:rFonts w:ascii="Times New Roman" w:hAnsi="Times New Roman" w:cs="Times New Roman"/>
          <w:b/>
          <w:bCs/>
          <w:sz w:val="24"/>
          <w:szCs w:val="24"/>
          <w:lang w:val="ro-MD"/>
        </w:rPr>
        <w:t>Raportul</w:t>
      </w:r>
      <w:r w:rsidR="00151552">
        <w:rPr>
          <w:rFonts w:ascii="Times New Roman" w:hAnsi="Times New Roman" w:cs="Times New Roman"/>
          <w:b/>
          <w:bCs/>
          <w:sz w:val="24"/>
          <w:szCs w:val="24"/>
          <w:lang w:val="ro-MD"/>
        </w:rPr>
        <w:t>u</w:t>
      </w:r>
      <w:r w:rsidRPr="00151552">
        <w:rPr>
          <w:rFonts w:ascii="Times New Roman" w:hAnsi="Times New Roman" w:cs="Times New Roman"/>
          <w:b/>
          <w:bCs/>
          <w:sz w:val="24"/>
          <w:szCs w:val="24"/>
          <w:lang w:val="ro-MD"/>
        </w:rPr>
        <w:t>i Tematic„ Utilizarea imaginii copiilor în campaniile electorale”</w:t>
      </w:r>
      <w:bookmarkStart w:id="0" w:name="_GoBack"/>
      <w:bookmarkEnd w:id="0"/>
      <w:r w:rsidRPr="00151552">
        <w:rPr>
          <w:rFonts w:ascii="Times New Roman" w:hAnsi="Times New Roman" w:cs="Times New Roman"/>
          <w:b/>
          <w:bCs/>
          <w:sz w:val="24"/>
          <w:szCs w:val="24"/>
          <w:lang w:val="ro-MD"/>
        </w:rPr>
        <w:t>,  realizat de către Avocatul Poporului pentru drepturile copilului.</w:t>
      </w:r>
    </w:p>
    <w:p w14:paraId="50595C05" w14:textId="68480AA2" w:rsidR="00C87E99" w:rsidRPr="00151552" w:rsidRDefault="00C87E99" w:rsidP="00C87E99">
      <w:pPr>
        <w:ind w:firstLine="708"/>
        <w:jc w:val="both"/>
        <w:rPr>
          <w:rFonts w:ascii="Times New Roman" w:eastAsia="Calibri" w:hAnsi="Times New Roman" w:cs="Times New Roman"/>
          <w:sz w:val="24"/>
          <w:szCs w:val="24"/>
          <w:lang w:val="ro-MD"/>
        </w:rPr>
      </w:pPr>
      <w:r w:rsidRPr="00151552">
        <w:rPr>
          <w:rFonts w:ascii="Times New Roman" w:eastAsia="Calibri" w:hAnsi="Times New Roman" w:cs="Times New Roman"/>
          <w:sz w:val="24"/>
          <w:szCs w:val="24"/>
          <w:lang w:val="ro-MD"/>
        </w:rPr>
        <w:t>Ombudsmanul Copilului a monitorizat campania electorală în alegerile prezidențiale din Republica Moldova din 2020, atenționând asupra utilizării imaginii și muncii c</w:t>
      </w:r>
      <w:r w:rsidR="00B627E5">
        <w:rPr>
          <w:rFonts w:ascii="Times New Roman" w:eastAsia="Calibri" w:hAnsi="Times New Roman" w:cs="Times New Roman"/>
          <w:sz w:val="24"/>
          <w:szCs w:val="24"/>
          <w:lang w:val="ro-MD"/>
        </w:rPr>
        <w:t>opiilor de către candidații</w:t>
      </w:r>
      <w:r w:rsidR="00B627E5" w:rsidRPr="00151552">
        <w:rPr>
          <w:rFonts w:ascii="Times New Roman" w:eastAsia="Calibri" w:hAnsi="Times New Roman" w:cs="Times New Roman"/>
          <w:sz w:val="24"/>
          <w:szCs w:val="24"/>
          <w:lang w:val="ro-MD"/>
        </w:rPr>
        <w:t xml:space="preserve"> sau partidelor politice </w:t>
      </w:r>
      <w:r w:rsidR="00B627E5">
        <w:rPr>
          <w:rFonts w:ascii="Times New Roman" w:eastAsia="Calibri" w:hAnsi="Times New Roman" w:cs="Times New Roman"/>
          <w:sz w:val="24"/>
          <w:szCs w:val="24"/>
          <w:lang w:val="ro-MD"/>
        </w:rPr>
        <w:t xml:space="preserve">în campania electorală </w:t>
      </w:r>
      <w:r w:rsidRPr="00151552">
        <w:rPr>
          <w:rFonts w:ascii="Times New Roman" w:eastAsia="Calibri" w:hAnsi="Times New Roman" w:cs="Times New Roman"/>
          <w:sz w:val="24"/>
          <w:szCs w:val="24"/>
          <w:lang w:val="ro-MD"/>
        </w:rPr>
        <w:t>pentru alegerile prezidențiale, în scopul formării imaginii și promovării candidatului politic. Astfel, pe parcursul perioadei de monitorizare 1 octombrie - 1 noiembrie 2020 (I tur al alegerilor) și 2 noiembrie -15 noiembrie 2020 (al II-lea tur de scrutin), au fost identificate 96 de cazuri de utilizare a imaginii minorilor în mediul on-line, 3 cazuri de utilizare a imaginii minorilor în afișe, pliante, spoturi video, 96 de cazuri când întrunirile electorale s-au desfășurat cu participarea minorilor și 6 cazuri de utilizare a forței de muncă a copiilor pentru repartizarea materialelor publicitare electorale.</w:t>
      </w:r>
    </w:p>
    <w:p w14:paraId="0F2C0283" w14:textId="77777777" w:rsidR="00C87E99" w:rsidRPr="00151552" w:rsidRDefault="00C87E99" w:rsidP="00C87E99">
      <w:pPr>
        <w:ind w:firstLine="708"/>
        <w:jc w:val="both"/>
        <w:rPr>
          <w:rFonts w:ascii="Times New Roman" w:hAnsi="Times New Roman" w:cs="Times New Roman"/>
          <w:sz w:val="24"/>
          <w:szCs w:val="24"/>
          <w:lang w:val="ro-MD"/>
        </w:rPr>
      </w:pPr>
      <w:r w:rsidRPr="00151552">
        <w:rPr>
          <w:rFonts w:ascii="Times New Roman" w:hAnsi="Times New Roman" w:cs="Times New Roman"/>
          <w:sz w:val="24"/>
          <w:szCs w:val="24"/>
          <w:lang w:val="ro-MD"/>
        </w:rPr>
        <w:t>De asemenea, Maia Bănărescu a lansat în anul 2021 un chestionar privind consultarea opiniei copiilor în legătură cu participarea lor la procesele electorale, cu perioada de chestionare între 11-26 martie, în urma căruia s-a constat că 44.7% din respondenți cunosc ce reprezintă un proces electoral, 64,9% au spus că au fost informați despre drepturile lor în cadrul acestui proces la școală.  134 din copiii participanți la chestionar au afirmat că au participat la cel puțin una din întâlnirile candidaților electorali cu alegătorii împreună cu părinții sau cu unul din părinți, pe când 130 au participat în cadrul școlii, la propunerea unui profesor, iar 72 dintre respondenți au participat singuri, la inițiativa proprie. 64 dintre copiii afirmă că au fost implicați la distribuirea pliantelor, broșurilor, ziarelor unui candidat în campania electorală fără a primi o remunerare, în schimbul remunerării au fost implicați un număr de 30 de respondenți (copii).</w:t>
      </w:r>
    </w:p>
    <w:p w14:paraId="26691523" w14:textId="77777777" w:rsidR="00C87E99" w:rsidRPr="00151552" w:rsidRDefault="00C87E99" w:rsidP="00C87E99">
      <w:pPr>
        <w:ind w:firstLine="708"/>
        <w:jc w:val="both"/>
        <w:rPr>
          <w:rFonts w:ascii="Times New Roman" w:hAnsi="Times New Roman" w:cs="Times New Roman"/>
          <w:color w:val="000000" w:themeColor="text1"/>
          <w:sz w:val="24"/>
          <w:szCs w:val="24"/>
          <w:lang w:val="ro-MD"/>
        </w:rPr>
      </w:pPr>
      <w:r w:rsidRPr="00151552">
        <w:rPr>
          <w:rFonts w:ascii="Times New Roman" w:eastAsia="Calibri" w:hAnsi="Times New Roman" w:cs="Times New Roman"/>
          <w:sz w:val="24"/>
          <w:szCs w:val="24"/>
          <w:lang w:val="ro-MD"/>
        </w:rPr>
        <w:t xml:space="preserve">În raport se constată lipsa unor prevederi clare în vederea sancționării actorilor electorali </w:t>
      </w:r>
      <w:r w:rsidRPr="00151552">
        <w:rPr>
          <w:rFonts w:ascii="Times New Roman" w:hAnsi="Times New Roman" w:cs="Times New Roman"/>
          <w:color w:val="000000" w:themeColor="text1"/>
          <w:sz w:val="24"/>
          <w:szCs w:val="24"/>
          <w:lang w:val="ro-MD"/>
        </w:rPr>
        <w:t>care folosesc copiii și imaginile copiilor cu încălcarea standardelor internaționale; lipsa pregătirii speciale pentru a încuraja dezvoltarea de medii și circumstanțe în care copiii pot dezvolta   abilități  în materie de politică. Cadrul legal nu stabilește  îndatorirea pentru deținătorii de obligații de a implementa corespunzător, nu de a limita, implicarea copiilor sau antrenarea copiilor în procesul electoral.</w:t>
      </w:r>
    </w:p>
    <w:p w14:paraId="285CA660" w14:textId="02883D7D" w:rsidR="00C87E99" w:rsidRPr="00151552" w:rsidRDefault="00C87E99" w:rsidP="00C87E99">
      <w:pPr>
        <w:ind w:firstLine="708"/>
        <w:jc w:val="both"/>
        <w:rPr>
          <w:rFonts w:ascii="Times New Roman" w:hAnsi="Times New Roman" w:cs="Times New Roman"/>
          <w:color w:val="000000" w:themeColor="text1"/>
          <w:sz w:val="24"/>
          <w:szCs w:val="24"/>
          <w:lang w:val="ro-MD"/>
        </w:rPr>
      </w:pPr>
      <w:r w:rsidRPr="00151552">
        <w:rPr>
          <w:rFonts w:ascii="Times New Roman" w:hAnsi="Times New Roman" w:cs="Times New Roman"/>
          <w:color w:val="000000" w:themeColor="text1"/>
          <w:sz w:val="24"/>
          <w:szCs w:val="24"/>
          <w:lang w:val="ro-MD"/>
        </w:rPr>
        <w:lastRenderedPageBreak/>
        <w:t xml:space="preserve">Maia Bănărescu a subliniat că standardele internaționale interzic utilizarea imaginii copilului, dar nu și </w:t>
      </w:r>
      <w:r w:rsidRPr="00151552">
        <w:rPr>
          <w:rFonts w:ascii="Times New Roman" w:hAnsi="Times New Roman" w:cs="Times New Roman"/>
          <w:color w:val="000000" w:themeColor="text1"/>
          <w:sz w:val="24"/>
          <w:szCs w:val="24"/>
          <w:u w:val="single"/>
          <w:lang w:val="ro-MD"/>
        </w:rPr>
        <w:t>participarea voluntară</w:t>
      </w:r>
      <w:r w:rsidRPr="00151552">
        <w:rPr>
          <w:rFonts w:ascii="Times New Roman" w:hAnsi="Times New Roman" w:cs="Times New Roman"/>
          <w:color w:val="000000" w:themeColor="text1"/>
          <w:sz w:val="24"/>
          <w:szCs w:val="24"/>
          <w:lang w:val="ro-MD"/>
        </w:rPr>
        <w:t xml:space="preserve"> a lui la procesele decizionale ce-l vizează. Comentariile nr. 12, 14 și 20 al Comitetului ONU pentru Drepturile Copilului prevăd expres faptul că opinia copilului și participarea acestuia urmează a fi luată în considerație în legătură cu orice segment, în orice domenii asupra cărora copilul manifestă interes în corespundere cu </w:t>
      </w:r>
      <w:r w:rsidR="00151552" w:rsidRPr="00151552">
        <w:rPr>
          <w:rFonts w:ascii="Times New Roman" w:hAnsi="Times New Roman" w:cs="Times New Roman"/>
          <w:color w:val="000000" w:themeColor="text1"/>
          <w:sz w:val="24"/>
          <w:szCs w:val="24"/>
          <w:lang w:val="ro-MD"/>
        </w:rPr>
        <w:t>dezvoltarea</w:t>
      </w:r>
      <w:r w:rsidRPr="00151552">
        <w:rPr>
          <w:rFonts w:ascii="Times New Roman" w:hAnsi="Times New Roman" w:cs="Times New Roman"/>
          <w:color w:val="000000" w:themeColor="text1"/>
          <w:sz w:val="24"/>
          <w:szCs w:val="24"/>
          <w:lang w:val="ro-MD"/>
        </w:rPr>
        <w:t xml:space="preserve"> și cu maturitatea sa fiziologică și psihologică. </w:t>
      </w:r>
    </w:p>
    <w:p w14:paraId="05676F5E" w14:textId="0147471D" w:rsidR="00C87E99" w:rsidRPr="00151552" w:rsidRDefault="00C87E99" w:rsidP="00C87E99">
      <w:pPr>
        <w:ind w:firstLine="708"/>
        <w:jc w:val="both"/>
        <w:rPr>
          <w:rFonts w:ascii="Times New Roman" w:hAnsi="Times New Roman" w:cs="Times New Roman"/>
          <w:color w:val="000000" w:themeColor="text1"/>
          <w:sz w:val="24"/>
          <w:szCs w:val="24"/>
          <w:lang w:val="ro-MD"/>
        </w:rPr>
      </w:pPr>
      <w:r w:rsidRPr="00151552">
        <w:rPr>
          <w:rFonts w:ascii="Times New Roman" w:hAnsi="Times New Roman" w:cs="Times New Roman"/>
          <w:sz w:val="24"/>
          <w:szCs w:val="24"/>
          <w:lang w:val="ro-MD"/>
        </w:rPr>
        <w:t xml:space="preserve">Încă în anul 2017 Avocatul Poporului pentru drepturile copilului, Maia Bănărescu, a propus Guvernului </w:t>
      </w:r>
      <w:r w:rsidR="00151552" w:rsidRPr="00151552">
        <w:rPr>
          <w:rFonts w:ascii="Times New Roman" w:hAnsi="Times New Roman" w:cs="Times New Roman"/>
          <w:bCs/>
          <w:sz w:val="24"/>
          <w:szCs w:val="24"/>
          <w:lang w:val="ro-MD"/>
        </w:rPr>
        <w:t>inițierea</w:t>
      </w:r>
      <w:r w:rsidRPr="00151552">
        <w:rPr>
          <w:rFonts w:ascii="Times New Roman" w:hAnsi="Times New Roman" w:cs="Times New Roman"/>
          <w:bCs/>
          <w:sz w:val="24"/>
          <w:szCs w:val="24"/>
          <w:lang w:val="ro-MD"/>
        </w:rPr>
        <w:t xml:space="preserve"> procedurii de completare a</w:t>
      </w:r>
      <w:r w:rsidRPr="00151552">
        <w:rPr>
          <w:rFonts w:ascii="Times New Roman" w:hAnsi="Times New Roman" w:cs="Times New Roman"/>
          <w:b/>
          <w:bCs/>
          <w:sz w:val="24"/>
          <w:szCs w:val="24"/>
          <w:lang w:val="ro-MD"/>
        </w:rPr>
        <w:t xml:space="preserve"> </w:t>
      </w:r>
      <w:r w:rsidRPr="00151552">
        <w:rPr>
          <w:rFonts w:ascii="Times New Roman" w:hAnsi="Times New Roman" w:cs="Times New Roman"/>
          <w:sz w:val="24"/>
          <w:szCs w:val="24"/>
          <w:lang w:val="ro-MD"/>
        </w:rPr>
        <w:t xml:space="preserve">Legii nr.26-XVI privind întrunirile, Codului </w:t>
      </w:r>
      <w:r w:rsidR="00151552" w:rsidRPr="00151552">
        <w:rPr>
          <w:rFonts w:ascii="Times New Roman" w:hAnsi="Times New Roman" w:cs="Times New Roman"/>
          <w:sz w:val="24"/>
          <w:szCs w:val="24"/>
          <w:lang w:val="ro-MD"/>
        </w:rPr>
        <w:t>contravențional</w:t>
      </w:r>
      <w:r w:rsidRPr="00151552">
        <w:rPr>
          <w:rFonts w:ascii="Times New Roman" w:hAnsi="Times New Roman" w:cs="Times New Roman"/>
          <w:sz w:val="24"/>
          <w:szCs w:val="24"/>
          <w:lang w:val="ro-MD"/>
        </w:rPr>
        <w:t xml:space="preserve"> </w:t>
      </w:r>
      <w:r w:rsidR="00151552" w:rsidRPr="00151552">
        <w:rPr>
          <w:rFonts w:ascii="Times New Roman" w:hAnsi="Times New Roman" w:cs="Times New Roman"/>
          <w:sz w:val="24"/>
          <w:szCs w:val="24"/>
          <w:lang w:val="ro-MD"/>
        </w:rPr>
        <w:t>cât</w:t>
      </w:r>
      <w:r w:rsidRPr="00151552">
        <w:rPr>
          <w:rFonts w:ascii="Times New Roman" w:hAnsi="Times New Roman" w:cs="Times New Roman"/>
          <w:sz w:val="24"/>
          <w:szCs w:val="24"/>
          <w:lang w:val="ro-MD"/>
        </w:rPr>
        <w:t xml:space="preserve"> </w:t>
      </w:r>
      <w:r w:rsidR="00151552" w:rsidRPr="00151552">
        <w:rPr>
          <w:rFonts w:ascii="Times New Roman" w:hAnsi="Times New Roman" w:cs="Times New Roman"/>
          <w:sz w:val="24"/>
          <w:szCs w:val="24"/>
          <w:lang w:val="ro-MD"/>
        </w:rPr>
        <w:t>și</w:t>
      </w:r>
      <w:r w:rsidRPr="00151552">
        <w:rPr>
          <w:rFonts w:ascii="Times New Roman" w:hAnsi="Times New Roman" w:cs="Times New Roman"/>
          <w:sz w:val="24"/>
          <w:szCs w:val="24"/>
          <w:lang w:val="ro-MD"/>
        </w:rPr>
        <w:t xml:space="preserve"> Codului penal cu prevederi concrete care ar încrimina organizatorii întrunirilor pentru atragerea la </w:t>
      </w:r>
      <w:r w:rsidR="00151552" w:rsidRPr="00151552">
        <w:rPr>
          <w:rFonts w:ascii="Times New Roman" w:hAnsi="Times New Roman" w:cs="Times New Roman"/>
          <w:sz w:val="24"/>
          <w:szCs w:val="24"/>
          <w:lang w:val="ro-MD"/>
        </w:rPr>
        <w:t>manifestații</w:t>
      </w:r>
      <w:r w:rsidRPr="00151552">
        <w:rPr>
          <w:rFonts w:ascii="Times New Roman" w:hAnsi="Times New Roman" w:cs="Times New Roman"/>
          <w:sz w:val="24"/>
          <w:szCs w:val="24"/>
          <w:lang w:val="ro-MD"/>
        </w:rPr>
        <w:t xml:space="preserve"> cu caracter politic a minorilor sub 18 ani.</w:t>
      </w:r>
      <w:r w:rsidRPr="00151552">
        <w:rPr>
          <w:rFonts w:ascii="Times New Roman" w:hAnsi="Times New Roman" w:cs="Times New Roman"/>
          <w:color w:val="000000" w:themeColor="text1"/>
          <w:sz w:val="24"/>
          <w:szCs w:val="24"/>
          <w:lang w:val="ro-MD"/>
        </w:rPr>
        <w:t xml:space="preserve"> Ombudsmanul Copilului mai propune completare</w:t>
      </w:r>
      <w:r w:rsidR="00B627E5">
        <w:rPr>
          <w:rFonts w:ascii="Times New Roman" w:hAnsi="Times New Roman" w:cs="Times New Roman"/>
          <w:color w:val="000000" w:themeColor="text1"/>
          <w:sz w:val="24"/>
          <w:szCs w:val="24"/>
          <w:lang w:val="ro-MD"/>
        </w:rPr>
        <w:t>a cadrului normativ, în special</w:t>
      </w:r>
      <w:r w:rsidRPr="00151552">
        <w:rPr>
          <w:rFonts w:ascii="Times New Roman" w:hAnsi="Times New Roman" w:cs="Times New Roman"/>
          <w:color w:val="000000" w:themeColor="text1"/>
          <w:sz w:val="24"/>
          <w:szCs w:val="24"/>
          <w:lang w:val="ro-MD"/>
        </w:rPr>
        <w:t xml:space="preserve"> legislația electorală cu reglementări exprese cu privire la interzicerea utilizării imaginii copiilor (minorilor) în campaniile electorale, referendumuri, în acțiuni de agitație/propagandă politică și care prezintă pericol pentru viața și sănătatea minorului sau lezează onoarea și demnitatea minorului fără consimțământul părinților/reprezentantului legal; revizuirea Legii nr. 338/1994 privind drepturile copilului reieșind din realitățile sociale actuale, inclusiv în aspect de accesibilitate, previzibilitate și claritate a </w:t>
      </w:r>
      <w:r w:rsidR="00151552" w:rsidRPr="00151552">
        <w:rPr>
          <w:rFonts w:ascii="Times New Roman" w:hAnsi="Times New Roman" w:cs="Times New Roman"/>
          <w:color w:val="000000" w:themeColor="text1"/>
          <w:sz w:val="24"/>
          <w:szCs w:val="24"/>
          <w:lang w:val="ro-MD"/>
        </w:rPr>
        <w:t>prevederilor</w:t>
      </w:r>
      <w:r w:rsidRPr="00151552">
        <w:rPr>
          <w:rFonts w:ascii="Times New Roman" w:hAnsi="Times New Roman" w:cs="Times New Roman"/>
          <w:color w:val="000000" w:themeColor="text1"/>
          <w:sz w:val="24"/>
          <w:szCs w:val="24"/>
          <w:lang w:val="ro-MD"/>
        </w:rPr>
        <w:t xml:space="preserve"> legale.</w:t>
      </w:r>
    </w:p>
    <w:p w14:paraId="7BD02FAC" w14:textId="77777777" w:rsidR="00151552" w:rsidRDefault="00C87E99" w:rsidP="00151552">
      <w:pPr>
        <w:spacing w:line="240" w:lineRule="auto"/>
        <w:ind w:firstLine="708"/>
        <w:jc w:val="both"/>
        <w:rPr>
          <w:rFonts w:ascii="Times New Roman" w:eastAsia="Calibri" w:hAnsi="Times New Roman" w:cs="Times New Roman"/>
          <w:sz w:val="24"/>
          <w:szCs w:val="24"/>
          <w:lang w:val="ro-MD"/>
        </w:rPr>
      </w:pPr>
      <w:r w:rsidRPr="00151552">
        <w:rPr>
          <w:rFonts w:ascii="Times New Roman" w:eastAsia="Calibri" w:hAnsi="Times New Roman" w:cs="Times New Roman"/>
          <w:sz w:val="24"/>
          <w:szCs w:val="24"/>
          <w:lang w:val="ro-MD"/>
        </w:rPr>
        <w:t xml:space="preserve">Avocatul Poporului pentru drepturile copilului reiterează necesitatea implementării unor mecanisme suplimentare pentru combaterea utilizării imaginii și/sau muncii copilului în scopuri electorale sau politice. </w:t>
      </w:r>
    </w:p>
    <w:p w14:paraId="19B91D6B" w14:textId="191EF364" w:rsidR="00C87E99" w:rsidRPr="00151552" w:rsidRDefault="00C87E99" w:rsidP="00151552">
      <w:pPr>
        <w:spacing w:line="240" w:lineRule="auto"/>
        <w:ind w:firstLine="708"/>
        <w:jc w:val="both"/>
        <w:rPr>
          <w:rFonts w:ascii="Times New Roman" w:eastAsia="Calibri" w:hAnsi="Times New Roman" w:cs="Times New Roman"/>
          <w:sz w:val="24"/>
          <w:szCs w:val="24"/>
          <w:lang w:val="ro-MD"/>
        </w:rPr>
      </w:pPr>
      <w:r w:rsidRPr="00151552">
        <w:rPr>
          <w:rFonts w:ascii="Times New Roman" w:eastAsia="Calibri" w:hAnsi="Times New Roman" w:cs="Times New Roman"/>
          <w:sz w:val="24"/>
          <w:szCs w:val="24"/>
          <w:lang w:val="ro-MD"/>
        </w:rPr>
        <w:t>Maia Bănărescu s-a adresat concurenților electorali și altor pe</w:t>
      </w:r>
      <w:r w:rsidR="00151552">
        <w:rPr>
          <w:rFonts w:ascii="Times New Roman" w:eastAsia="Calibri" w:hAnsi="Times New Roman" w:cs="Times New Roman"/>
          <w:sz w:val="24"/>
          <w:szCs w:val="24"/>
          <w:lang w:val="ro-MD"/>
        </w:rPr>
        <w:t xml:space="preserve">rsoane implicate în campaniile </w:t>
      </w:r>
      <w:r w:rsidRPr="00151552">
        <w:rPr>
          <w:rFonts w:ascii="Times New Roman" w:eastAsia="Calibri" w:hAnsi="Times New Roman" w:cs="Times New Roman"/>
          <w:sz w:val="24"/>
          <w:szCs w:val="24"/>
          <w:lang w:val="ro-MD"/>
        </w:rPr>
        <w:t>e</w:t>
      </w:r>
      <w:r w:rsidR="00151552">
        <w:rPr>
          <w:rFonts w:ascii="Times New Roman" w:eastAsia="Calibri" w:hAnsi="Times New Roman" w:cs="Times New Roman"/>
          <w:sz w:val="24"/>
          <w:szCs w:val="24"/>
          <w:lang w:val="ro-MD"/>
        </w:rPr>
        <w:t>le</w:t>
      </w:r>
      <w:r w:rsidRPr="00151552">
        <w:rPr>
          <w:rFonts w:ascii="Times New Roman" w:eastAsia="Calibri" w:hAnsi="Times New Roman" w:cs="Times New Roman"/>
          <w:sz w:val="24"/>
          <w:szCs w:val="24"/>
          <w:lang w:val="ro-MD"/>
        </w:rPr>
        <w:t xml:space="preserve">ctorale cu îndemnul să trateze copiii </w:t>
      </w:r>
      <w:r w:rsidRPr="00151552">
        <w:rPr>
          <w:rFonts w:ascii="Times New Roman" w:hAnsi="Times New Roman" w:cs="Times New Roman"/>
          <w:bCs/>
          <w:iCs/>
          <w:color w:val="000000" w:themeColor="text1"/>
          <w:sz w:val="24"/>
          <w:szCs w:val="24"/>
          <w:lang w:val="ro-MD"/>
        </w:rPr>
        <w:t>cu respectarea demnității lor umane  și să nu admită acțiuni care să le afecteze viața privată. Ombudsmanul Copilului cheamă furnizorii de servicii media să nu distribuie publicitate bazată pe imagini ale copiilor, să asigure furnizarea</w:t>
      </w:r>
      <w:r w:rsidR="00151552">
        <w:rPr>
          <w:rFonts w:ascii="Times New Roman" w:hAnsi="Times New Roman" w:cs="Times New Roman"/>
          <w:bCs/>
          <w:iCs/>
          <w:color w:val="000000" w:themeColor="text1"/>
          <w:sz w:val="24"/>
          <w:szCs w:val="24"/>
          <w:lang w:val="ro-MD"/>
        </w:rPr>
        <w:t xml:space="preserve"> de informații veridice, co</w:t>
      </w:r>
      <w:r w:rsidRPr="00151552">
        <w:rPr>
          <w:rFonts w:ascii="Times New Roman" w:hAnsi="Times New Roman" w:cs="Times New Roman"/>
          <w:bCs/>
          <w:iCs/>
          <w:color w:val="000000" w:themeColor="text1"/>
          <w:sz w:val="24"/>
          <w:szCs w:val="24"/>
          <w:lang w:val="ro-MD"/>
        </w:rPr>
        <w:t xml:space="preserve">recte și adaptate gradului de maturitate a copiilor.   Către părinți și profesori, alte persoane implicate în creșterea și educarea copiilor, Maia Bănărescu vine cu îndemnul ca aceștia să informeze  corect copiii despre procesele electorale, cu asigurarea explicării drepturilor derivate din acestea. </w:t>
      </w:r>
    </w:p>
    <w:p w14:paraId="3C214BBE" w14:textId="2570FE0D" w:rsidR="00C87E99" w:rsidRPr="00151552" w:rsidRDefault="00C87E99" w:rsidP="00151552">
      <w:pPr>
        <w:tabs>
          <w:tab w:val="num" w:pos="720"/>
        </w:tabs>
        <w:spacing w:line="240" w:lineRule="auto"/>
        <w:jc w:val="both"/>
        <w:rPr>
          <w:rFonts w:ascii="Times New Roman" w:hAnsi="Times New Roman" w:cs="Times New Roman"/>
          <w:color w:val="000000" w:themeColor="text1"/>
          <w:sz w:val="24"/>
          <w:szCs w:val="24"/>
          <w:lang w:val="ro-MD"/>
        </w:rPr>
      </w:pPr>
      <w:r w:rsidRPr="00151552">
        <w:rPr>
          <w:rFonts w:ascii="Times New Roman" w:hAnsi="Times New Roman" w:cs="Times New Roman"/>
          <w:color w:val="000000" w:themeColor="text1"/>
          <w:sz w:val="24"/>
          <w:szCs w:val="24"/>
          <w:lang w:val="ro-MD"/>
        </w:rPr>
        <w:t xml:space="preserve">Ombudsmanul Copilului are un mesaj și pentru copii: </w:t>
      </w:r>
      <w:r w:rsidRPr="00151552">
        <w:rPr>
          <w:rFonts w:ascii="Times New Roman" w:hAnsi="Times New Roman" w:cs="Times New Roman"/>
          <w:bCs/>
          <w:iCs/>
          <w:color w:val="000000" w:themeColor="text1"/>
          <w:sz w:val="24"/>
          <w:szCs w:val="24"/>
          <w:lang w:val="ro-MD"/>
        </w:rPr>
        <w:t>,,Participați activ și implicați-vă atunci când considerați că acțiunile ce derivă din procesele electorale vă vizează!”</w:t>
      </w:r>
    </w:p>
    <w:p w14:paraId="63794064" w14:textId="64637A7C" w:rsidR="00BB345A" w:rsidRPr="00151552" w:rsidRDefault="00C87E99" w:rsidP="00C87E99">
      <w:pPr>
        <w:spacing w:after="0"/>
        <w:ind w:firstLine="567"/>
        <w:jc w:val="both"/>
        <w:rPr>
          <w:rFonts w:ascii="Times New Roman" w:hAnsi="Times New Roman" w:cs="Times New Roman"/>
          <w:sz w:val="24"/>
          <w:szCs w:val="24"/>
          <w:lang w:val="ro-MD"/>
        </w:rPr>
      </w:pPr>
      <w:r w:rsidRPr="00151552">
        <w:rPr>
          <w:rFonts w:ascii="Times New Roman" w:hAnsi="Times New Roman" w:cs="Times New Roman"/>
          <w:color w:val="000000" w:themeColor="text1"/>
          <w:sz w:val="24"/>
          <w:szCs w:val="24"/>
          <w:lang w:val="ro-MD"/>
        </w:rPr>
        <w:t xml:space="preserve">Raportul integral poate fi accesat aici: </w:t>
      </w:r>
      <w:hyperlink r:id="rId7" w:history="1">
        <w:r w:rsidRPr="00151552">
          <w:rPr>
            <w:rStyle w:val="a7"/>
            <w:rFonts w:ascii="Times New Roman" w:hAnsi="Times New Roman" w:cs="Times New Roman"/>
            <w:sz w:val="24"/>
            <w:szCs w:val="24"/>
            <w:lang w:val="ro-MD"/>
          </w:rPr>
          <w:t>http://ombudsman.md/wp-content/uploads/2021/05/RaportELECT2021-.pdf</w:t>
        </w:r>
      </w:hyperlink>
    </w:p>
    <w:p w14:paraId="4F8439B1" w14:textId="1EA61E35" w:rsidR="00AD04EC" w:rsidRPr="00151552" w:rsidRDefault="00AD04EC" w:rsidP="005C1A3E">
      <w:pPr>
        <w:spacing w:after="0"/>
        <w:ind w:firstLine="567"/>
        <w:jc w:val="both"/>
        <w:rPr>
          <w:rFonts w:ascii="Times New Roman" w:hAnsi="Times New Roman" w:cs="Times New Roman"/>
          <w:sz w:val="24"/>
          <w:szCs w:val="24"/>
          <w:lang w:val="ro-MD"/>
        </w:rPr>
      </w:pPr>
    </w:p>
    <w:p w14:paraId="65E1A819" w14:textId="1CFAC6EA" w:rsidR="00AD04EC" w:rsidRPr="00151552" w:rsidRDefault="00AD04EC" w:rsidP="005C1A3E">
      <w:pPr>
        <w:spacing w:after="0"/>
        <w:ind w:firstLine="567"/>
        <w:jc w:val="both"/>
        <w:rPr>
          <w:rFonts w:ascii="Times New Roman" w:hAnsi="Times New Roman" w:cs="Times New Roman"/>
          <w:sz w:val="24"/>
          <w:szCs w:val="24"/>
          <w:lang w:val="ro-MD"/>
        </w:rPr>
      </w:pPr>
    </w:p>
    <w:p w14:paraId="4186BB6B" w14:textId="77777777" w:rsidR="005C1A3E" w:rsidRPr="00151552" w:rsidRDefault="005C1A3E" w:rsidP="005C1A3E">
      <w:pPr>
        <w:spacing w:after="0"/>
        <w:ind w:firstLine="567"/>
        <w:jc w:val="right"/>
        <w:rPr>
          <w:rFonts w:ascii="Times New Roman" w:hAnsi="Times New Roman" w:cs="Times New Roman"/>
          <w:b/>
          <w:sz w:val="24"/>
          <w:szCs w:val="24"/>
          <w:lang w:val="ro-MD"/>
        </w:rPr>
      </w:pPr>
      <w:r w:rsidRPr="00151552">
        <w:rPr>
          <w:rFonts w:ascii="Times New Roman" w:hAnsi="Times New Roman" w:cs="Times New Roman"/>
          <w:sz w:val="24"/>
          <w:szCs w:val="24"/>
          <w:lang w:val="ro-MD"/>
        </w:rPr>
        <w:t xml:space="preserve">                                                           </w:t>
      </w:r>
      <w:r w:rsidR="00AD04EC" w:rsidRPr="00151552">
        <w:rPr>
          <w:rFonts w:ascii="Times New Roman" w:hAnsi="Times New Roman" w:cs="Times New Roman"/>
          <w:b/>
          <w:sz w:val="24"/>
          <w:szCs w:val="24"/>
          <w:lang w:val="ro-MD"/>
        </w:rPr>
        <w:t>Direcția promovarea drepturilor</w:t>
      </w:r>
    </w:p>
    <w:p w14:paraId="5BADADD6" w14:textId="2FE00E06" w:rsidR="00AD04EC" w:rsidRPr="00151552" w:rsidRDefault="00AD04EC" w:rsidP="005C1A3E">
      <w:pPr>
        <w:spacing w:after="0"/>
        <w:ind w:firstLine="567"/>
        <w:jc w:val="right"/>
        <w:rPr>
          <w:rFonts w:ascii="Times New Roman" w:hAnsi="Times New Roman" w:cs="Times New Roman"/>
          <w:b/>
          <w:sz w:val="24"/>
          <w:szCs w:val="24"/>
          <w:lang w:val="ro-MD"/>
        </w:rPr>
      </w:pPr>
      <w:r w:rsidRPr="00151552">
        <w:rPr>
          <w:rFonts w:ascii="Times New Roman" w:hAnsi="Times New Roman" w:cs="Times New Roman"/>
          <w:b/>
          <w:sz w:val="24"/>
          <w:szCs w:val="24"/>
          <w:lang w:val="ro-MD"/>
        </w:rPr>
        <w:t xml:space="preserve"> omului și comunicare</w:t>
      </w:r>
    </w:p>
    <w:p w14:paraId="08EEEAB8" w14:textId="122EFE57" w:rsidR="005C1A3E" w:rsidRPr="00151552" w:rsidRDefault="005C1A3E" w:rsidP="005C1A3E">
      <w:pPr>
        <w:spacing w:after="0"/>
        <w:ind w:firstLine="567"/>
        <w:jc w:val="right"/>
        <w:rPr>
          <w:rFonts w:ascii="Times New Roman" w:hAnsi="Times New Roman" w:cs="Times New Roman"/>
          <w:b/>
          <w:sz w:val="24"/>
          <w:szCs w:val="24"/>
          <w:lang w:val="ro-MD"/>
        </w:rPr>
      </w:pPr>
      <w:r w:rsidRPr="00151552">
        <w:rPr>
          <w:rFonts w:ascii="Times New Roman" w:hAnsi="Times New Roman" w:cs="Times New Roman"/>
          <w:b/>
          <w:sz w:val="24"/>
          <w:szCs w:val="24"/>
          <w:lang w:val="ro-MD"/>
        </w:rPr>
        <w:t xml:space="preserve">                                                                                                     Tel: 060002656</w:t>
      </w:r>
    </w:p>
    <w:p w14:paraId="53B66850" w14:textId="3DEAC392" w:rsidR="00280AEA" w:rsidRPr="00151552" w:rsidRDefault="00280AEA" w:rsidP="005C1A3E">
      <w:pPr>
        <w:shd w:val="clear" w:color="auto" w:fill="FFFFFF"/>
        <w:spacing w:after="0"/>
        <w:jc w:val="right"/>
        <w:rPr>
          <w:rFonts w:ascii="Tahoma" w:eastAsia="Times New Roman" w:hAnsi="Tahoma" w:cs="Tahoma"/>
          <w:b/>
          <w:color w:val="000000"/>
          <w:sz w:val="24"/>
          <w:szCs w:val="24"/>
          <w:lang w:val="ro-MD"/>
        </w:rPr>
      </w:pPr>
    </w:p>
    <w:p w14:paraId="00534180" w14:textId="3269D39F" w:rsidR="00BB345A" w:rsidRPr="00151552" w:rsidRDefault="00BB345A" w:rsidP="005C1A3E">
      <w:pPr>
        <w:spacing w:after="0"/>
        <w:ind w:firstLine="567"/>
        <w:jc w:val="both"/>
        <w:rPr>
          <w:rFonts w:ascii="Times New Roman" w:hAnsi="Times New Roman" w:cs="Times New Roman"/>
          <w:sz w:val="24"/>
          <w:szCs w:val="24"/>
          <w:lang w:val="ro-MD"/>
        </w:rPr>
      </w:pPr>
    </w:p>
    <w:sectPr w:rsidR="00BB345A" w:rsidRPr="00151552" w:rsidSect="009B4182">
      <w:headerReference w:type="even" r:id="rId8"/>
      <w:headerReference w:type="default" r:id="rId9"/>
      <w:headerReference w:type="first" r:id="rId10"/>
      <w:pgSz w:w="11906" w:h="16838"/>
      <w:pgMar w:top="2127" w:right="849"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4F236" w14:textId="77777777" w:rsidR="00BE7050" w:rsidRDefault="00BE7050" w:rsidP="00BB345A">
      <w:pPr>
        <w:spacing w:after="0" w:line="240" w:lineRule="auto"/>
      </w:pPr>
      <w:r>
        <w:separator/>
      </w:r>
    </w:p>
  </w:endnote>
  <w:endnote w:type="continuationSeparator" w:id="0">
    <w:p w14:paraId="48B4DFCF" w14:textId="77777777" w:rsidR="00BE7050" w:rsidRDefault="00BE7050" w:rsidP="00BB3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FDEB9" w14:textId="77777777" w:rsidR="00BE7050" w:rsidRDefault="00BE7050" w:rsidP="00BB345A">
      <w:pPr>
        <w:spacing w:after="0" w:line="240" w:lineRule="auto"/>
      </w:pPr>
      <w:r>
        <w:separator/>
      </w:r>
    </w:p>
  </w:footnote>
  <w:footnote w:type="continuationSeparator" w:id="0">
    <w:p w14:paraId="4DE02069" w14:textId="77777777" w:rsidR="00BE7050" w:rsidRDefault="00BE7050" w:rsidP="00BB34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4C680" w14:textId="7C4B3188" w:rsidR="009B2813" w:rsidRDefault="00BB345A">
    <w:pPr>
      <w:pStyle w:val="a4"/>
    </w:pPr>
    <w:r>
      <w:rPr>
        <w:noProof/>
        <w:lang w:val="ru-RU" w:eastAsia="ru-RU"/>
      </w:rPr>
      <w:drawing>
        <wp:anchor distT="0" distB="0" distL="114300" distR="114300" simplePos="0" relativeHeight="251661312" behindDoc="1" locked="0" layoutInCell="1" allowOverlap="1" wp14:anchorId="1A209F71" wp14:editId="5B8AF0F8">
          <wp:simplePos x="0" y="0"/>
          <wp:positionH relativeFrom="margin">
            <wp:align>center</wp:align>
          </wp:positionH>
          <wp:positionV relativeFrom="margin">
            <wp:align>center</wp:align>
          </wp:positionV>
          <wp:extent cx="5840730" cy="8261350"/>
          <wp:effectExtent l="0" t="0" r="7620" b="635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0730" cy="8261350"/>
                  </a:xfrm>
                  <a:prstGeom prst="rect">
                    <a:avLst/>
                  </a:prstGeom>
                  <a:noFill/>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114300" distR="114300" simplePos="0" relativeHeight="251659264" behindDoc="1" locked="0" layoutInCell="1" allowOverlap="1" wp14:anchorId="70916E37" wp14:editId="7AB596DC">
          <wp:simplePos x="0" y="0"/>
          <wp:positionH relativeFrom="margin">
            <wp:align>center</wp:align>
          </wp:positionH>
          <wp:positionV relativeFrom="margin">
            <wp:align>center</wp:align>
          </wp:positionV>
          <wp:extent cx="5840730" cy="8261350"/>
          <wp:effectExtent l="0" t="0" r="7620" b="635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40730" cy="82613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70889" w14:textId="77777777" w:rsidR="009B2813" w:rsidRDefault="00F511E4">
    <w:pPr>
      <w:pStyle w:val="a4"/>
    </w:pPr>
    <w:r>
      <w:rPr>
        <w:noProof/>
        <w:lang w:val="ru-RU" w:eastAsia="ru-RU"/>
      </w:rPr>
      <w:drawing>
        <wp:anchor distT="0" distB="0" distL="114300" distR="114300" simplePos="0" relativeHeight="251663360" behindDoc="1" locked="0" layoutInCell="1" allowOverlap="1" wp14:anchorId="24CF0D83" wp14:editId="36462DD6">
          <wp:simplePos x="0" y="0"/>
          <wp:positionH relativeFrom="margin">
            <wp:posOffset>-616412</wp:posOffset>
          </wp:positionH>
          <wp:positionV relativeFrom="paragraph">
            <wp:posOffset>-540327</wp:posOffset>
          </wp:positionV>
          <wp:extent cx="7335982" cy="10564091"/>
          <wp:effectExtent l="1905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do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5982" cy="10564091"/>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916FC" w14:textId="7A28EA8C" w:rsidR="009B2813" w:rsidRDefault="00BB345A">
    <w:pPr>
      <w:pStyle w:val="a4"/>
    </w:pPr>
    <w:r>
      <w:rPr>
        <w:noProof/>
        <w:lang w:val="ru-RU" w:eastAsia="ru-RU"/>
      </w:rPr>
      <w:drawing>
        <wp:anchor distT="0" distB="0" distL="114300" distR="114300" simplePos="0" relativeHeight="251662336" behindDoc="1" locked="0" layoutInCell="1" allowOverlap="1" wp14:anchorId="163E2EB7" wp14:editId="0041DF87">
          <wp:simplePos x="0" y="0"/>
          <wp:positionH relativeFrom="margin">
            <wp:align>center</wp:align>
          </wp:positionH>
          <wp:positionV relativeFrom="margin">
            <wp:align>center</wp:align>
          </wp:positionV>
          <wp:extent cx="5840730" cy="8261350"/>
          <wp:effectExtent l="0" t="0" r="7620" b="635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0730" cy="8261350"/>
                  </a:xfrm>
                  <a:prstGeom prst="rect">
                    <a:avLst/>
                  </a:prstGeom>
                  <a:noFill/>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114300" distR="114300" simplePos="0" relativeHeight="251660288" behindDoc="1" locked="0" layoutInCell="1" allowOverlap="1" wp14:anchorId="6A92EA56" wp14:editId="0CE6BD26">
          <wp:simplePos x="0" y="0"/>
          <wp:positionH relativeFrom="margin">
            <wp:align>center</wp:align>
          </wp:positionH>
          <wp:positionV relativeFrom="margin">
            <wp:align>center</wp:align>
          </wp:positionV>
          <wp:extent cx="5840730" cy="8261350"/>
          <wp:effectExtent l="0" t="0" r="7620" b="635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40730" cy="826135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D1D"/>
    <w:rsid w:val="00023BA5"/>
    <w:rsid w:val="00023E01"/>
    <w:rsid w:val="000678D0"/>
    <w:rsid w:val="00083DED"/>
    <w:rsid w:val="000A20B8"/>
    <w:rsid w:val="000B4720"/>
    <w:rsid w:val="000D111C"/>
    <w:rsid w:val="00103AB2"/>
    <w:rsid w:val="001050FF"/>
    <w:rsid w:val="00145D25"/>
    <w:rsid w:val="00151552"/>
    <w:rsid w:val="00166E08"/>
    <w:rsid w:val="001979DA"/>
    <w:rsid w:val="001F2994"/>
    <w:rsid w:val="00202F6D"/>
    <w:rsid w:val="00241759"/>
    <w:rsid w:val="00280AEA"/>
    <w:rsid w:val="00324878"/>
    <w:rsid w:val="00344405"/>
    <w:rsid w:val="003D7D22"/>
    <w:rsid w:val="003E05F5"/>
    <w:rsid w:val="003E3F4E"/>
    <w:rsid w:val="004756FC"/>
    <w:rsid w:val="00490B59"/>
    <w:rsid w:val="004B183C"/>
    <w:rsid w:val="004C7FB1"/>
    <w:rsid w:val="004E0423"/>
    <w:rsid w:val="005513F3"/>
    <w:rsid w:val="00574A16"/>
    <w:rsid w:val="005804DC"/>
    <w:rsid w:val="005C1A3E"/>
    <w:rsid w:val="00606E70"/>
    <w:rsid w:val="00642C10"/>
    <w:rsid w:val="006548D7"/>
    <w:rsid w:val="00661520"/>
    <w:rsid w:val="00661EB3"/>
    <w:rsid w:val="006D61F6"/>
    <w:rsid w:val="007012C6"/>
    <w:rsid w:val="00702DEC"/>
    <w:rsid w:val="00735AA6"/>
    <w:rsid w:val="00785159"/>
    <w:rsid w:val="0078594D"/>
    <w:rsid w:val="00810F9D"/>
    <w:rsid w:val="0088071F"/>
    <w:rsid w:val="008C0E85"/>
    <w:rsid w:val="008C1C59"/>
    <w:rsid w:val="008E1357"/>
    <w:rsid w:val="008F1188"/>
    <w:rsid w:val="008F38FF"/>
    <w:rsid w:val="00904E47"/>
    <w:rsid w:val="009172BE"/>
    <w:rsid w:val="00927124"/>
    <w:rsid w:val="00943577"/>
    <w:rsid w:val="00945861"/>
    <w:rsid w:val="00946080"/>
    <w:rsid w:val="00966EEA"/>
    <w:rsid w:val="00A1784A"/>
    <w:rsid w:val="00A20CFD"/>
    <w:rsid w:val="00A27C4C"/>
    <w:rsid w:val="00A6414D"/>
    <w:rsid w:val="00A67DF2"/>
    <w:rsid w:val="00A8514F"/>
    <w:rsid w:val="00AD0341"/>
    <w:rsid w:val="00AD04EC"/>
    <w:rsid w:val="00AF4F9C"/>
    <w:rsid w:val="00B55B27"/>
    <w:rsid w:val="00B627E5"/>
    <w:rsid w:val="00B64B4E"/>
    <w:rsid w:val="00BA1108"/>
    <w:rsid w:val="00BB345A"/>
    <w:rsid w:val="00BE13A5"/>
    <w:rsid w:val="00BE7050"/>
    <w:rsid w:val="00C07AE7"/>
    <w:rsid w:val="00C34AD7"/>
    <w:rsid w:val="00C3624B"/>
    <w:rsid w:val="00C675CE"/>
    <w:rsid w:val="00C87E99"/>
    <w:rsid w:val="00CB54EC"/>
    <w:rsid w:val="00D00CA5"/>
    <w:rsid w:val="00D13368"/>
    <w:rsid w:val="00D52DDE"/>
    <w:rsid w:val="00D60A71"/>
    <w:rsid w:val="00D62F80"/>
    <w:rsid w:val="00DA4FE7"/>
    <w:rsid w:val="00DD25AC"/>
    <w:rsid w:val="00DE192E"/>
    <w:rsid w:val="00E007C9"/>
    <w:rsid w:val="00E210CB"/>
    <w:rsid w:val="00E3333E"/>
    <w:rsid w:val="00E95460"/>
    <w:rsid w:val="00EE0CC1"/>
    <w:rsid w:val="00EF7D1D"/>
    <w:rsid w:val="00F2098D"/>
    <w:rsid w:val="00F511E4"/>
    <w:rsid w:val="00F861D2"/>
    <w:rsid w:val="00FB3AAC"/>
    <w:rsid w:val="00FD6ABA"/>
    <w:rsid w:val="00FD6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82DA2"/>
  <w15:chartTrackingRefBased/>
  <w15:docId w15:val="{E6F766E3-97BB-4175-8318-C66786EF8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45A"/>
    <w:pPr>
      <w:spacing w:after="200" w:line="276" w:lineRule="auto"/>
    </w:pPr>
    <w:rPr>
      <w:rFonts w:eastAsiaTheme="minorEastAsia"/>
      <w:lang w:eastAsia="ru-RU"/>
    </w:rPr>
  </w:style>
  <w:style w:type="paragraph" w:styleId="4">
    <w:name w:val="heading 4"/>
    <w:basedOn w:val="a"/>
    <w:next w:val="a"/>
    <w:link w:val="40"/>
    <w:uiPriority w:val="9"/>
    <w:unhideWhenUsed/>
    <w:qFormat/>
    <w:rsid w:val="001979D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345A"/>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B345A"/>
    <w:pPr>
      <w:tabs>
        <w:tab w:val="center" w:pos="4680"/>
        <w:tab w:val="right" w:pos="9360"/>
      </w:tabs>
      <w:spacing w:after="0" w:line="240" w:lineRule="auto"/>
    </w:pPr>
    <w:rPr>
      <w:rFonts w:eastAsiaTheme="minorHAnsi"/>
      <w:sz w:val="24"/>
      <w:szCs w:val="24"/>
      <w:lang w:val="en-US" w:eastAsia="en-US"/>
    </w:rPr>
  </w:style>
  <w:style w:type="character" w:customStyle="1" w:styleId="a5">
    <w:name w:val="Верхний колонтитул Знак"/>
    <w:basedOn w:val="a0"/>
    <w:link w:val="a4"/>
    <w:uiPriority w:val="99"/>
    <w:rsid w:val="00BB345A"/>
    <w:rPr>
      <w:sz w:val="24"/>
      <w:szCs w:val="24"/>
      <w:lang w:val="en-US"/>
    </w:rPr>
  </w:style>
  <w:style w:type="paragraph" w:styleId="a6">
    <w:name w:val="Normal (Web)"/>
    <w:basedOn w:val="a"/>
    <w:uiPriority w:val="99"/>
    <w:unhideWhenUsed/>
    <w:rsid w:val="00BB345A"/>
    <w:pPr>
      <w:spacing w:after="0" w:line="240" w:lineRule="auto"/>
      <w:ind w:firstLine="567"/>
      <w:jc w:val="both"/>
    </w:pPr>
    <w:rPr>
      <w:rFonts w:ascii="Times New Roman" w:eastAsia="Times New Roman" w:hAnsi="Times New Roman" w:cs="Times New Roman"/>
      <w:sz w:val="24"/>
      <w:szCs w:val="24"/>
    </w:rPr>
  </w:style>
  <w:style w:type="character" w:styleId="a7">
    <w:name w:val="Hyperlink"/>
    <w:basedOn w:val="a0"/>
    <w:uiPriority w:val="99"/>
    <w:unhideWhenUsed/>
    <w:rsid w:val="00BB345A"/>
    <w:rPr>
      <w:color w:val="0000FF"/>
      <w:u w:val="single"/>
    </w:rPr>
  </w:style>
  <w:style w:type="paragraph" w:styleId="a8">
    <w:name w:val="footnote text"/>
    <w:basedOn w:val="a"/>
    <w:link w:val="a9"/>
    <w:uiPriority w:val="99"/>
    <w:semiHidden/>
    <w:unhideWhenUsed/>
    <w:rsid w:val="00BB345A"/>
    <w:pPr>
      <w:spacing w:after="0" w:line="240" w:lineRule="auto"/>
    </w:pPr>
    <w:rPr>
      <w:sz w:val="20"/>
      <w:szCs w:val="20"/>
    </w:rPr>
  </w:style>
  <w:style w:type="character" w:customStyle="1" w:styleId="a9">
    <w:name w:val="Текст сноски Знак"/>
    <w:basedOn w:val="a0"/>
    <w:link w:val="a8"/>
    <w:uiPriority w:val="99"/>
    <w:semiHidden/>
    <w:rsid w:val="00BB345A"/>
    <w:rPr>
      <w:rFonts w:eastAsiaTheme="minorEastAsia"/>
      <w:sz w:val="20"/>
      <w:szCs w:val="20"/>
      <w:lang w:eastAsia="ru-RU"/>
    </w:rPr>
  </w:style>
  <w:style w:type="character" w:styleId="aa">
    <w:name w:val="footnote reference"/>
    <w:basedOn w:val="a0"/>
    <w:uiPriority w:val="99"/>
    <w:semiHidden/>
    <w:unhideWhenUsed/>
    <w:rsid w:val="00BB345A"/>
    <w:rPr>
      <w:vertAlign w:val="superscript"/>
    </w:rPr>
  </w:style>
  <w:style w:type="character" w:customStyle="1" w:styleId="40">
    <w:name w:val="Заголовок 4 Знак"/>
    <w:basedOn w:val="a0"/>
    <w:link w:val="4"/>
    <w:uiPriority w:val="9"/>
    <w:rsid w:val="001979DA"/>
    <w:rPr>
      <w:rFonts w:asciiTheme="majorHAnsi" w:eastAsiaTheme="majorEastAsia" w:hAnsiTheme="majorHAnsi" w:cstheme="majorBidi"/>
      <w:i/>
      <w:iCs/>
      <w:color w:val="2F5496" w:themeColor="accent1" w:themeShade="B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748076">
      <w:bodyDiv w:val="1"/>
      <w:marLeft w:val="0"/>
      <w:marRight w:val="0"/>
      <w:marTop w:val="0"/>
      <w:marBottom w:val="0"/>
      <w:divBdr>
        <w:top w:val="none" w:sz="0" w:space="0" w:color="auto"/>
        <w:left w:val="none" w:sz="0" w:space="0" w:color="auto"/>
        <w:bottom w:val="none" w:sz="0" w:space="0" w:color="auto"/>
        <w:right w:val="none" w:sz="0" w:space="0" w:color="auto"/>
      </w:divBdr>
    </w:div>
    <w:div w:id="77794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ombudsman.md/wp-content/uploads/2021/05/RaportELECT2021-.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A316C-AF36-477A-8471-FD295F38D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887</Words>
  <Characters>5057</Characters>
  <Application>Microsoft Office Word</Application>
  <DocSecurity>0</DocSecurity>
  <Lines>42</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2021-06-01T07:10:00Z</dcterms:created>
  <dcterms:modified xsi:type="dcterms:W3CDTF">2021-06-01T07:24:00Z</dcterms:modified>
</cp:coreProperties>
</file>